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Neo Poh Kiat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RAFFLES QUAY #39-01A</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LEONG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048581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CHINA YUCHAI INTERNATIONAL LTD</w:t>
              </w:r>
            </w:hyperlink>
            <w:r>
              <w:rPr/>
              <w:t xml:space="preserve"> [ </w:t>
            </w:r>
            <w:r>
              <w:rPr>
                <w:rFonts w:ascii="Times;serif" w:hAnsi="Times;serif"/>
                <w:color w:val="0000FF"/>
                <w:sz w:val="24"/>
                <w:shd w:fill="FFFFFF" w:val="clear"/>
              </w:rPr>
              <w:t>CYD</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45.6922</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936"/>
        <w:gridCol w:w="681"/>
        <w:gridCol w:w="801"/>
        <w:gridCol w:w="936"/>
        <w:gridCol w:w="831"/>
        <w:gridCol w:w="846"/>
      </w:tblGrid>
      <w:tr>
        <w:trPr>
          <w:tblHeader w:val="true"/>
        </w:trPr>
        <w:tc>
          <w:tcPr>
            <w:tcW w:w="118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Commom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on 17 August 2026 at prices ranging from US$45.36 to US$46.17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representing the right to purchase an aggregate of 50,000 shares of Common Stock, became exercisable with respect to 33% of the option (16,500 underlying shares) on August 9, 2026. An additional 33% of the option (16,500 underlying shares) will become exercisable on August 9, 2027, and the remaining 34% of the option (17,000 underlying shares) will become exercisable on August 9, 2028, in each case in accordance with the applicable vesting schedule and the terms of the China Yuchai International Limited 2025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Neo Poh Kiat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2266" TargetMode="External"/><Relationship Id="rId5" Type="http://schemas.openxmlformats.org/officeDocument/2006/relationships/hyperlink" Target="http://www.sec.gov/cgi-bin/browse-edgar?action=getcompany&amp;CIK=00009326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4022</Characters>
  <CharactersWithSpaces>4682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