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notice_of_agm_2026.htm"/>
      <w:bookmarkStart w:id="1" w:name="ksnotice_of_agm_2026"/>
      <w:bookmarkEnd w:id="0"/>
      <w:bookmarkEnd w:id="1"/>
      <w:r>
        <w:rPr/>
        <w:t> </w:t>
      </w:r>
    </w:p>
    <w:p>
      <w:pPr>
        <w:pStyle w:val="TextBody"/>
        <w:bidi w:val="0"/>
        <w:spacing w:before="80" w:after="283"/>
        <w:jc w:val="center"/>
        <w:rPr>
          <w:rFonts w:ascii="Times New Roman" w:hAnsi="Times New Roman"/>
          <w:sz w:val="20"/>
        </w:rPr>
      </w:pPr>
      <w:r>
        <w:rPr>
          <w:rFonts w:ascii="Times New Roman" w:hAnsi="Times New Roman"/>
          <w:b/>
          <w:color w:val="000000"/>
          <w:sz w:val="36"/>
        </w:rPr>
        <w:t>UNITED STATES</w:t>
      </w:r>
      <w:r>
        <w:rPr>
          <w:rFonts w:ascii="Times New Roman" w:hAnsi="Times New Roman"/>
          <w:color w:val="000000"/>
          <w:sz w:val="20"/>
        </w:rPr>
        <w:t xml:space="preserve"> </w:t>
      </w:r>
    </w:p>
    <w:p>
      <w:pPr>
        <w:pStyle w:val="TextBody"/>
        <w:bidi w:val="0"/>
        <w:spacing w:before="80" w:after="283"/>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sz w:val="20"/>
        </w:rPr>
      </w:pPr>
      <w:r>
        <w:rPr>
          <w:rFonts w:ascii="Times New Roman" w:hAnsi="Times New Roman"/>
          <w:b/>
          <w:color w:val="000000"/>
          <w:sz w:val="24"/>
        </w:rPr>
        <w:t>Washington, D.C. 20549</w:t>
      </w:r>
      <w:r>
        <w:rPr>
          <w:rFonts w:ascii="Times New Roman" w:hAnsi="Times New Roman"/>
          <w:color w:val="000000"/>
          <w:sz w:val="20"/>
        </w:rPr>
        <w:t xml:space="preserve"> </w:t>
      </w:r>
    </w:p>
    <w:p>
      <w:pPr>
        <w:pStyle w:val="TextBody"/>
        <w:bidi w:val="0"/>
        <w:spacing w:before="240" w:after="283"/>
        <w:ind w:left="4320" w:right="4320" w:hanging="0"/>
        <w:jc w:val="center"/>
        <w:rPr>
          <w:rFonts w:ascii="Times New Roman" w:hAnsi="Times New Roman"/>
          <w:sz w:val="20"/>
        </w:rPr>
      </w:pPr>
      <w:r>
        <w:rPr>
          <w:rFonts w:ascii="Times New Roman" w:hAnsi="Times New Roman"/>
          <w:b/>
          <w:color w:val="000000"/>
          <w:sz w:val="36"/>
        </w:rPr>
        <w:t>FORM 6-K</w:t>
      </w:r>
      <w:r>
        <w:rPr>
          <w:rFonts w:ascii="Times New Roman" w:hAnsi="Times New Roman"/>
          <w:color w:val="000000"/>
          <w:sz w:val="20"/>
        </w:rPr>
        <w:t xml:space="preserve"> </w:t>
      </w:r>
    </w:p>
    <w:p>
      <w:pPr>
        <w:pStyle w:val="TextBody"/>
        <w:bidi w:val="0"/>
        <w:spacing w:before="240" w:after="283"/>
        <w:ind w:left="4320" w:right="4320" w:hanging="0"/>
        <w:jc w:val="center"/>
        <w:rPr>
          <w:rFonts w:ascii="Times New Roman" w:hAnsi="Times New Roman"/>
          <w:sz w:val="20"/>
        </w:rPr>
      </w:pPr>
      <w:r>
        <w:rPr>
          <w:rFonts w:ascii="Times New Roman" w:hAnsi="Times New Roman"/>
          <w:b/>
          <w:color w:val="000000"/>
          <w:sz w:val="24"/>
        </w:rPr>
        <w:t>REPORT OF FOREIGN ISSUER</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PURSUANT TO RULE 13a-16 OR 15d-16</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OF THE SECURITIES EXCHANGE ACT OF 1934</w:t>
      </w:r>
      <w:r>
        <w:rPr>
          <w:rFonts w:ascii="Times New Roman" w:hAnsi="Times New Roman"/>
          <w:color w:val="000000"/>
          <w:sz w:val="20"/>
        </w:rPr>
        <w:t xml:space="preserve">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July 7, 2026</w:t>
      </w:r>
    </w:p>
    <w:p>
      <w:pPr>
        <w:pStyle w:val="TextBody"/>
        <w:bidi w:val="0"/>
        <w:spacing w:before="240" w:after="283"/>
        <w:jc w:val="center"/>
        <w:rPr>
          <w:rFonts w:ascii="Times New Roman" w:hAnsi="Times New Roman"/>
          <w:sz w:val="20"/>
        </w:rPr>
      </w:pPr>
      <w:r>
        <w:rPr>
          <w:rFonts w:ascii="Times New Roman" w:hAnsi="Times New Roman"/>
          <w:b/>
          <w:color w:val="000000"/>
          <w:sz w:val="20"/>
        </w:rPr>
        <w:t>(Commission File No. 1 - 13522)</w:t>
      </w:r>
      <w:r>
        <w:rPr>
          <w:rFonts w:ascii="Times New Roman" w:hAnsi="Times New Roman"/>
          <w:color w:val="000000"/>
          <w:sz w:val="20"/>
        </w:rPr>
        <w:t xml:space="preserve"> </w:t>
      </w:r>
    </w:p>
    <w:p>
      <w:pPr>
        <w:pStyle w:val="TextBody"/>
        <w:bidi w:val="0"/>
        <w:spacing w:before="240" w:after="283"/>
        <w:ind w:left="4320" w:right="4320" w:hanging="0"/>
        <w:jc w:val="center"/>
        <w:rPr>
          <w:rFonts w:ascii="Times New Roman" w:hAnsi="Times New Roman"/>
          <w:b/>
          <w:color w:val="000000"/>
          <w:sz w:val="48"/>
        </w:rPr>
      </w:pPr>
      <w:r>
        <w:rPr>
          <w:rFonts w:ascii="Times New Roman" w:hAnsi="Times New Roman"/>
          <w:b/>
          <w:color w:val="000000"/>
          <w:sz w:val="48"/>
        </w:rPr>
        <w:t>CHINA YUCHAI INTERNATIONAL LIMITED</w:t>
      </w:r>
    </w:p>
    <w:p>
      <w:pPr>
        <w:pStyle w:val="TextBody"/>
        <w:bidi w:val="0"/>
        <w:jc w:val="center"/>
        <w:rPr>
          <w:rFonts w:ascii="Times New Roman" w:hAnsi="Times New Roman"/>
          <w:sz w:val="20"/>
        </w:rPr>
      </w:pPr>
      <w:r>
        <w:rPr>
          <w:rFonts w:ascii="Times New Roman" w:hAnsi="Times New Roman"/>
          <w:b/>
          <w:color w:val="000000"/>
          <w:sz w:val="20"/>
        </w:rPr>
        <w:t>(Translation of registrant’s name into English)</w:t>
      </w:r>
      <w:r>
        <w:rPr>
          <w:rFonts w:ascii="Times New Roman" w:hAnsi="Times New Roman"/>
          <w:color w:val="000000"/>
          <w:sz w:val="20"/>
        </w:rPr>
        <w:t xml:space="preserve"> </w:t>
      </w:r>
    </w:p>
    <w:p>
      <w:pPr>
        <w:pStyle w:val="TextBody"/>
        <w:bidi w:val="0"/>
        <w:spacing w:before="240" w:after="283"/>
        <w:ind w:left="4320" w:right="4320" w:hanging="0"/>
        <w:jc w:val="center"/>
        <w:rPr>
          <w:rFonts w:ascii="Times New Roman" w:hAnsi="Times New Roman"/>
          <w:b/>
          <w:color w:val="000000"/>
          <w:sz w:val="20"/>
        </w:rPr>
      </w:pPr>
      <w:r>
        <w:rPr>
          <w:rFonts w:ascii="Times New Roman" w:hAnsi="Times New Roman"/>
          <w:b/>
          <w:color w:val="000000"/>
          <w:sz w:val="20"/>
        </w:rPr>
        <w:t>16 Raffles Quay #26-00</w:t>
      </w:r>
    </w:p>
    <w:p>
      <w:pPr>
        <w:pStyle w:val="TextBody"/>
        <w:bidi w:val="0"/>
        <w:jc w:val="center"/>
        <w:rPr>
          <w:rFonts w:ascii="Times New Roman" w:hAnsi="Times New Roman"/>
          <w:sz w:val="20"/>
        </w:rPr>
      </w:pPr>
      <w:r>
        <w:rPr>
          <w:rFonts w:ascii="Times New Roman" w:hAnsi="Times New Roman"/>
          <w:b/>
          <w:color w:val="000000"/>
          <w:sz w:val="20"/>
        </w:rPr>
        <w:t>Hong Leong Building</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Singapore 048581</w:t>
      </w:r>
    </w:p>
    <w:p>
      <w:pPr>
        <w:pStyle w:val="TextBody"/>
        <w:bidi w:val="0"/>
        <w:jc w:val="center"/>
        <w:rPr>
          <w:rFonts w:ascii="Times New Roman" w:hAnsi="Times New Roman"/>
          <w:sz w:val="20"/>
        </w:rPr>
      </w:pPr>
      <w:r>
        <w:rPr>
          <w:rFonts w:ascii="Times New Roman" w:hAnsi="Times New Roman"/>
          <w:b/>
          <w:color w:val="000000"/>
          <w:sz w:val="16"/>
        </w:rPr>
        <w:t>(Address of registrant’s principal executive office)</w:t>
      </w:r>
      <w:r>
        <w:rPr>
          <w:rFonts w:ascii="Times New Roman" w:hAnsi="Times New Roman"/>
          <w:color w:val="000000"/>
          <w:sz w:val="20"/>
        </w:rPr>
        <w:t xml:space="preserve"> </w:t>
      </w:r>
    </w:p>
    <w:p>
      <w:pPr>
        <w:pStyle w:val="TextBody"/>
        <w:bidi w:val="0"/>
        <w:spacing w:before="240" w:after="283"/>
        <w:ind w:left="4320" w:right="4320" w:hanging="0"/>
        <w:jc w:val="center"/>
        <w:rPr>
          <w:rFonts w:ascii="Times New Roman" w:hAnsi="Times New Roman"/>
          <w:color w:val="000000"/>
          <w:sz w:val="20"/>
        </w:rPr>
      </w:pPr>
      <w:r>
        <w:rPr>
          <w:rFonts w:ascii="Times New Roman" w:hAnsi="Times New Roman"/>
          <w:color w:val="000000"/>
          <w:sz w:val="20"/>
        </w:rPr>
        <w:t xml:space="preserve">Indicate by check mark whether the registrant files or will file annual reports under cover Form 20-F or Form 40-F. </w:t>
      </w:r>
    </w:p>
    <w:p>
      <w:pPr>
        <w:pStyle w:val="TextBody"/>
        <w:bidi w:val="0"/>
        <w:jc w:val="center"/>
        <w:rPr>
          <w:rFonts w:ascii="Times New Roman" w:hAnsi="Times New Roman"/>
          <w:color w:val="000000"/>
          <w:sz w:val="20"/>
        </w:rPr>
      </w:pPr>
      <w:r>
        <w:rPr>
          <w:rFonts w:ascii="Times New Roman" w:hAnsi="Times New Roman"/>
          <w:color w:val="000000"/>
          <w:sz w:val="20"/>
        </w:rPr>
        <w:t>Form 20-F  Form 40-F </w:t>
      </w:r>
    </w:p>
    <w:p>
      <w:pPr>
        <w:pStyle w:val="TextBody"/>
        <w:pBdr>
          <w:top w:val="single" w:sz="8" w:space="1" w:color="000000"/>
        </w:pBdr>
        <w:bidi w:val="0"/>
        <w:spacing w:before="20" w:after="283"/>
        <w:jc w:val="center"/>
        <w:rPr/>
      </w:pPr>
      <w:r>
        <w:rPr/>
        <w:t>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EXHIBIT INDEX</w:t>
      </w:r>
      <w:r>
        <w:rPr>
          <w:rFonts w:ascii="Times New Roman" w:hAnsi="Times New Roman"/>
          <w:color w:val="000000"/>
          <w:sz w:val="20"/>
        </w:rPr>
        <w:t xml:space="preserve"> </w:t>
      </w:r>
    </w:p>
    <w:tbl>
      <w:tblPr>
        <w:tblW w:w="6719" w:type="dxa"/>
        <w:jc w:val="left"/>
        <w:tblInd w:w="0" w:type="dxa"/>
        <w:tblLayout w:type="fixed"/>
        <w:tblCellMar>
          <w:top w:w="28" w:type="dxa"/>
          <w:left w:w="28" w:type="dxa"/>
          <w:bottom w:w="28" w:type="dxa"/>
          <w:right w:w="28" w:type="dxa"/>
        </w:tblCellMar>
      </w:tblPr>
      <w:tblGrid>
        <w:gridCol w:w="751"/>
        <w:gridCol w:w="267"/>
        <w:gridCol w:w="5701"/>
      </w:tblGrid>
      <w:tr>
        <w:trPr/>
        <w:tc>
          <w:tcPr>
            <w:tcW w:w="751" w:type="dxa"/>
            <w:tcBorders/>
            <w:shd w:fill="FFFFFF" w:val="clear"/>
            <w:vAlign w:val="center"/>
          </w:tcPr>
          <w:p>
            <w:pPr>
              <w:pStyle w:val="TableContents"/>
              <w:bidi w:val="0"/>
              <w:spacing w:before="0" w:after="283"/>
              <w:jc w:val="left"/>
              <w:rPr>
                <w:sz w:val="4"/>
                <w:szCs w:val="4"/>
              </w:rPr>
            </w:pPr>
            <w:r>
              <w:rPr>
                <w:sz w:val="4"/>
                <w:szCs w:val="4"/>
              </w:rPr>
            </w:r>
          </w:p>
        </w:tc>
        <w:tc>
          <w:tcPr>
            <w:tcW w:w="267" w:type="dxa"/>
            <w:tcBorders/>
            <w:shd w:fill="FFFFFF" w:val="clear"/>
            <w:vAlign w:val="center"/>
          </w:tcPr>
          <w:p>
            <w:pPr>
              <w:pStyle w:val="TableContents"/>
              <w:bidi w:val="0"/>
              <w:spacing w:before="0" w:after="283"/>
              <w:jc w:val="left"/>
              <w:rPr>
                <w:sz w:val="4"/>
                <w:szCs w:val="4"/>
              </w:rPr>
            </w:pPr>
            <w:r>
              <w:rPr>
                <w:sz w:val="4"/>
                <w:szCs w:val="4"/>
              </w:rPr>
            </w:r>
          </w:p>
        </w:tc>
        <w:tc>
          <w:tcPr>
            <w:tcW w:w="5701" w:type="dxa"/>
            <w:tcBorders/>
            <w:shd w:fill="FFFFFF" w:val="clear"/>
            <w:vAlign w:val="center"/>
          </w:tcPr>
          <w:p>
            <w:pPr>
              <w:pStyle w:val="TableContents"/>
              <w:bidi w:val="0"/>
              <w:spacing w:before="0" w:after="283"/>
              <w:jc w:val="left"/>
              <w:rPr>
                <w:sz w:val="4"/>
                <w:szCs w:val="4"/>
              </w:rPr>
            </w:pPr>
            <w:r>
              <w:rPr>
                <w:sz w:val="4"/>
                <w:szCs w:val="4"/>
              </w:rPr>
            </w:r>
          </w:p>
        </w:tc>
      </w:tr>
      <w:tr>
        <w:trPr/>
        <w:tc>
          <w:tcPr>
            <w:tcW w:w="75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Exhibit</w:t>
            </w:r>
          </w:p>
        </w:tc>
        <w:tc>
          <w:tcPr>
            <w:tcW w:w="267"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70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Description</w:t>
            </w:r>
          </w:p>
        </w:tc>
      </w:tr>
      <w:tr>
        <w:trPr/>
        <w:tc>
          <w:tcPr>
            <w:tcW w:w="751" w:type="dxa"/>
            <w:tcBorders/>
            <w:tcMar>
              <w:top w:w="0" w:type="dxa"/>
              <w:left w:w="0" w:type="dxa"/>
              <w:bottom w:w="0" w:type="dxa"/>
              <w:right w:w="0" w:type="dxa"/>
            </w:tcMar>
            <w:vAlign w:val="center"/>
          </w:tcPr>
          <w:p>
            <w:pPr>
              <w:pStyle w:val="TableContents"/>
              <w:bidi w:val="0"/>
              <w:spacing w:before="0" w:after="283"/>
              <w:ind w:left="0" w:right="0" w:firstLine="121"/>
              <w:jc w:val="center"/>
              <w:rPr>
                <w:rFonts w:ascii="Times New Roman" w:hAnsi="Times New Roman"/>
                <w:color w:val="000000"/>
                <w:sz w:val="20"/>
              </w:rPr>
            </w:pPr>
            <w:r>
              <w:rPr>
                <w:rFonts w:ascii="Times New Roman" w:hAnsi="Times New Roman"/>
                <w:color w:val="000000"/>
                <w:sz w:val="20"/>
              </w:rPr>
              <w:t>99.1</w:t>
            </w:r>
          </w:p>
        </w:tc>
        <w:tc>
          <w:tcPr>
            <w:tcW w:w="267" w:type="dxa"/>
            <w:tcBorders/>
            <w:tcMar>
              <w:top w:w="0" w:type="dxa"/>
              <w:left w:w="0" w:type="dxa"/>
              <w:bottom w:w="0" w:type="dxa"/>
              <w:right w:w="0" w:type="dxa"/>
            </w:tcMar>
            <w:vAlign w:val="center"/>
          </w:tcPr>
          <w:p>
            <w:pPr>
              <w:pStyle w:val="TableContents"/>
              <w:bidi w:val="0"/>
              <w:spacing w:before="0" w:after="283"/>
              <w:ind w:left="0" w:right="0" w:firstLine="121"/>
              <w:jc w:val="left"/>
              <w:rPr>
                <w:sz w:val="4"/>
                <w:szCs w:val="4"/>
              </w:rPr>
            </w:pPr>
            <w:r>
              <w:rPr>
                <w:sz w:val="4"/>
                <w:szCs w:val="4"/>
              </w:rPr>
            </w:r>
          </w:p>
        </w:tc>
        <w:tc>
          <w:tcPr>
            <w:tcW w:w="5701" w:type="dxa"/>
            <w:tcBorders/>
            <w:tcMar>
              <w:top w:w="0" w:type="dxa"/>
              <w:left w:w="0" w:type="dxa"/>
              <w:bottom w:w="0" w:type="dxa"/>
              <w:right w:w="0" w:type="dxa"/>
            </w:tcMar>
            <w:vAlign w:val="center"/>
          </w:tcPr>
          <w:p>
            <w:pPr>
              <w:pStyle w:val="TableContents"/>
              <w:bidi w:val="0"/>
              <w:spacing w:before="0" w:after="283"/>
              <w:jc w:val="left"/>
              <w:rPr/>
            </w:pPr>
            <w:r>
              <w:rPr>
                <w:rFonts w:ascii="Times New Roman" w:hAnsi="Times New Roman"/>
                <w:color w:val="0000FF"/>
                <w:sz w:val="20"/>
                <w:u w:val="single"/>
              </w:rPr>
              <w:t xml:space="preserve">Press release dated July 7, 2026 – </w:t>
            </w:r>
            <w:hyperlink w:anchor="ck0000932695-ex99_1.htm">
              <w:r>
                <w:rPr>
                  <w:rStyle w:val="InternetLink"/>
                  <w:rFonts w:ascii="Times New Roman" w:hAnsi="Times New Roman"/>
                  <w:color w:val="000080"/>
                  <w:sz w:val="20"/>
                  <w:u w:val="single"/>
                </w:rPr>
                <w:t>Notice of Annual General Meeting</w:t>
              </w:r>
            </w:hyperlink>
          </w:p>
        </w:tc>
      </w:tr>
      <w:tr>
        <w:trPr/>
        <w:tc>
          <w:tcPr>
            <w:tcW w:w="751" w:type="dxa"/>
            <w:tcBorders/>
            <w:tcMar>
              <w:top w:w="0" w:type="dxa"/>
              <w:left w:w="0" w:type="dxa"/>
              <w:bottom w:w="0" w:type="dxa"/>
              <w:right w:w="0" w:type="dxa"/>
            </w:tcMar>
            <w:vAlign w:val="center"/>
          </w:tcPr>
          <w:p>
            <w:pPr>
              <w:pStyle w:val="TableContents"/>
              <w:bidi w:val="0"/>
              <w:spacing w:before="0" w:after="283"/>
              <w:ind w:left="0" w:right="0" w:firstLine="121"/>
              <w:jc w:val="center"/>
              <w:rPr/>
            </w:pPr>
            <w:r>
              <w:rPr/>
              <w:t> </w:t>
            </w:r>
          </w:p>
        </w:tc>
        <w:tc>
          <w:tcPr>
            <w:tcW w:w="267" w:type="dxa"/>
            <w:tcBorders/>
            <w:tcMar>
              <w:top w:w="0" w:type="dxa"/>
              <w:left w:w="0" w:type="dxa"/>
              <w:bottom w:w="0" w:type="dxa"/>
              <w:right w:w="0" w:type="dxa"/>
            </w:tcMar>
            <w:vAlign w:val="center"/>
          </w:tcPr>
          <w:p>
            <w:pPr>
              <w:pStyle w:val="TableContents"/>
              <w:bidi w:val="0"/>
              <w:spacing w:before="0" w:after="283"/>
              <w:ind w:left="121" w:right="0" w:firstLine="121"/>
              <w:jc w:val="left"/>
              <w:rPr/>
            </w:pPr>
            <w:r>
              <w:rPr/>
              <w:t> </w:t>
            </w:r>
          </w:p>
        </w:tc>
        <w:tc>
          <w:tcPr>
            <w:tcW w:w="57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1" w:type="dxa"/>
            <w:tcBorders/>
            <w:tcMar>
              <w:top w:w="0" w:type="dxa"/>
              <w:left w:w="0" w:type="dxa"/>
              <w:bottom w:w="0" w:type="dxa"/>
              <w:right w:w="0" w:type="dxa"/>
            </w:tcMar>
            <w:vAlign w:val="center"/>
          </w:tcPr>
          <w:p>
            <w:pPr>
              <w:pStyle w:val="TableContents"/>
              <w:bidi w:val="0"/>
              <w:spacing w:before="0" w:after="283"/>
              <w:ind w:left="0" w:right="0" w:firstLine="121"/>
              <w:jc w:val="center"/>
              <w:rPr>
                <w:rFonts w:ascii="Times New Roman" w:hAnsi="Times New Roman"/>
                <w:color w:val="000000"/>
                <w:sz w:val="20"/>
              </w:rPr>
            </w:pPr>
            <w:r>
              <w:rPr>
                <w:rFonts w:ascii="Times New Roman" w:hAnsi="Times New Roman"/>
                <w:color w:val="000000"/>
                <w:sz w:val="20"/>
              </w:rPr>
              <w:t>99.2</w:t>
            </w:r>
          </w:p>
        </w:tc>
        <w:tc>
          <w:tcPr>
            <w:tcW w:w="267" w:type="dxa"/>
            <w:tcBorders/>
            <w:tcMar>
              <w:top w:w="0" w:type="dxa"/>
              <w:left w:w="0" w:type="dxa"/>
              <w:bottom w:w="0" w:type="dxa"/>
              <w:right w:w="0" w:type="dxa"/>
            </w:tcMar>
            <w:vAlign w:val="center"/>
          </w:tcPr>
          <w:p>
            <w:pPr>
              <w:pStyle w:val="TableContents"/>
              <w:bidi w:val="0"/>
              <w:spacing w:before="0" w:after="283"/>
              <w:ind w:left="121" w:right="0" w:firstLine="121"/>
              <w:jc w:val="left"/>
              <w:rPr/>
            </w:pPr>
            <w:r>
              <w:rPr/>
              <w:t> </w:t>
            </w:r>
          </w:p>
        </w:tc>
        <w:tc>
          <w:tcPr>
            <w:tcW w:w="5701" w:type="dxa"/>
            <w:tcBorders/>
            <w:tcMar>
              <w:top w:w="0" w:type="dxa"/>
              <w:left w:w="0" w:type="dxa"/>
              <w:bottom w:w="0" w:type="dxa"/>
              <w:right w:w="0" w:type="dxa"/>
            </w:tcMar>
            <w:vAlign w:val="center"/>
          </w:tcPr>
          <w:p>
            <w:pPr>
              <w:pStyle w:val="TableContents"/>
              <w:bidi w:val="0"/>
              <w:spacing w:before="0" w:after="283"/>
              <w:jc w:val="left"/>
              <w:rPr/>
            </w:pPr>
            <w:hyperlink w:anchor="ck0000932695-ex99_2.htm">
              <w:r>
                <w:rPr>
                  <w:rStyle w:val="InternetLink"/>
                  <w:rFonts w:ascii="Times New Roman" w:hAnsi="Times New Roman"/>
                  <w:color w:val="0000FF"/>
                  <w:sz w:val="20"/>
                  <w:u w:val="single"/>
                </w:rPr>
                <w:t>Proxy Card</w:t>
              </w:r>
            </w:hyperlink>
            <w:hyperlink w:anchor="ck0000932695-ex99_2.htm">
              <w:r>
                <w:rPr>
                  <w:rStyle w:val="InternetLink"/>
                  <w:rFonts w:ascii="Times New Roman" w:hAnsi="Times New Roman"/>
                  <w:color w:val="0000FF"/>
                  <w:sz w:val="20"/>
                </w:rPr>
                <w:t xml:space="preserve"> </w:t>
              </w:r>
            </w:hyperlink>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u w:val="single"/>
        </w:rPr>
        <w:t>SIGNATURES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the registrant has duly caused this report to be signed on its behalf by the undersigned, thereto duly authorized. </w:t>
      </w:r>
    </w:p>
    <w:tbl>
      <w:tblPr>
        <w:tblW w:w="3075" w:type="dxa"/>
        <w:jc w:val="left"/>
        <w:tblInd w:w="0" w:type="dxa"/>
        <w:tblLayout w:type="fixed"/>
        <w:tblCellMar>
          <w:top w:w="28" w:type="dxa"/>
          <w:left w:w="28" w:type="dxa"/>
          <w:bottom w:w="28" w:type="dxa"/>
          <w:right w:w="28" w:type="dxa"/>
        </w:tblCellMar>
      </w:tblPr>
      <w:tblGrid>
        <w:gridCol w:w="765"/>
        <w:gridCol w:w="2310"/>
      </w:tblGrid>
      <w:tr>
        <w:trPr/>
        <w:tc>
          <w:tcPr>
            <w:tcW w:w="765" w:type="dxa"/>
            <w:tcBorders/>
            <w:vAlign w:val="center"/>
          </w:tcPr>
          <w:p>
            <w:pPr>
              <w:pStyle w:val="TableContents"/>
              <w:bidi w:val="0"/>
              <w:spacing w:before="0" w:after="283"/>
              <w:jc w:val="left"/>
              <w:rPr>
                <w:sz w:val="4"/>
                <w:szCs w:val="4"/>
              </w:rPr>
            </w:pPr>
            <w:r>
              <w:rPr>
                <w:sz w:val="4"/>
                <w:szCs w:val="4"/>
              </w:rPr>
            </w:r>
          </w:p>
        </w:tc>
        <w:tc>
          <w:tcPr>
            <w:tcW w:w="2310" w:type="dxa"/>
            <w:tcBorders/>
            <w:vAlign w:val="center"/>
          </w:tcPr>
          <w:p>
            <w:pPr>
              <w:pStyle w:val="TableContents"/>
              <w:bidi w:val="0"/>
              <w:spacing w:before="0" w:after="283"/>
              <w:jc w:val="left"/>
              <w:rPr>
                <w:sz w:val="4"/>
                <w:szCs w:val="4"/>
              </w:rPr>
            </w:pPr>
            <w:r>
              <w:rPr>
                <w:sz w:val="4"/>
                <w:szCs w:val="4"/>
              </w:rPr>
            </w:r>
          </w:p>
        </w:tc>
      </w:tr>
      <w:tr>
        <w:trPr/>
        <w:tc>
          <w:tcPr>
            <w:tcW w:w="307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China Yuchai International Limited</w:t>
            </w:r>
          </w:p>
        </w:tc>
      </w:tr>
      <w:tr>
        <w:trPr/>
        <w:tc>
          <w:tcPr>
            <w:tcW w:w="307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(Registrant)</w:t>
            </w:r>
          </w:p>
        </w:tc>
      </w:tr>
      <w:tr>
        <w:trPr/>
        <w:tc>
          <w:tcPr>
            <w:tcW w:w="765" w:type="dxa"/>
            <w:tcBorders/>
            <w:tcMar>
              <w:top w:w="0" w:type="dxa"/>
              <w:left w:w="0" w:type="dxa"/>
              <w:bottom w:w="0" w:type="dxa"/>
              <w:right w:w="0" w:type="dxa"/>
            </w:tcMar>
            <w:vAlign w:val="center"/>
          </w:tcPr>
          <w:p>
            <w:pPr>
              <w:pStyle w:val="TableContents"/>
              <w:bidi w:val="0"/>
              <w:spacing w:before="0" w:after="283"/>
              <w:jc w:val="left"/>
              <w:rPr/>
            </w:pPr>
            <w:r>
              <w:rPr/>
              <w:t> </w:t>
            </w:r>
          </w:p>
        </w:tc>
        <w:tc>
          <w:tcPr>
            <w:tcW w:w="231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6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310"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Weng Ming Hoh</w:t>
            </w:r>
          </w:p>
        </w:tc>
      </w:tr>
      <w:tr>
        <w:trPr/>
        <w:tc>
          <w:tcPr>
            <w:tcW w:w="76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231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Weng Ming Hoh</w:t>
            </w:r>
          </w:p>
        </w:tc>
      </w:tr>
      <w:tr>
        <w:trPr/>
        <w:tc>
          <w:tcPr>
            <w:tcW w:w="76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231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Director</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July 7, 2026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Arial" w:hAnsi="Arial"/>
          <w:b/>
          <w:color w:val="231F20"/>
          <w:sz w:val="20"/>
        </w:rPr>
      </w:pPr>
      <w:bookmarkStart w:id="2" w:name="ck0000932695-ex99_1.htm"/>
      <w:bookmarkStart w:id="3" w:name="ksck0000932695ex99_1"/>
      <w:bookmarkEnd w:id="2"/>
      <w:bookmarkEnd w:id="3"/>
      <w:r>
        <w:rPr>
          <w:rFonts w:ascii="Arial" w:hAnsi="Arial"/>
          <w:b/>
          <w:color w:val="231F20"/>
          <w:sz w:val="20"/>
        </w:rPr>
        <w:t>Exhibit 99.1</w:t>
      </w:r>
      <w:r>
        <w:br w:type="page"/>
      </w:r>
    </w:p>
    <w:p>
      <w:pPr>
        <w:pStyle w:val="TextBody"/>
        <w:bidi w:val="0"/>
        <w:spacing w:before="155" w:after="283"/>
        <w:ind w:left="720" w:right="116" w:firstLine="720"/>
        <w:jc w:val="center"/>
        <w:rPr/>
      </w:pPr>
      <w:r>
        <w:rPr/>
        <w:t> </w:t>
      </w:r>
    </w:p>
    <w:p>
      <w:pPr>
        <w:pStyle w:val="TextBody"/>
        <w:bidi w:val="0"/>
        <w:spacing w:before="155" w:after="283"/>
        <w:ind w:left="0" w:right="116" w:hanging="0"/>
        <w:jc w:val="left"/>
        <w:rPr/>
      </w:pPr>
      <w:r>
        <w:rPr/>
        <w:drawing>
          <wp:inline distT="0" distB="0" distL="0" distR="0">
            <wp:extent cx="2705100" cy="762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705100" cy="762000"/>
                    </a:xfrm>
                    <a:prstGeom prst="rect">
                      <a:avLst/>
                    </a:prstGeom>
                  </pic:spPr>
                </pic:pic>
              </a:graphicData>
            </a:graphic>
          </wp:inline>
        </w:drawing>
      </w:r>
    </w:p>
    <w:p>
      <w:pPr>
        <w:pStyle w:val="TextBody"/>
        <w:bidi w:val="0"/>
        <w:spacing w:before="155" w:after="283"/>
        <w:ind w:left="720" w:right="116" w:firstLine="720"/>
        <w:jc w:val="center"/>
        <w:rPr/>
      </w:pPr>
      <w:r>
        <w:rPr/>
        <w:t> </w:t>
      </w:r>
    </w:p>
    <w:p>
      <w:pPr>
        <w:pStyle w:val="TextBody"/>
        <w:bidi w:val="0"/>
        <w:spacing w:before="155" w:after="283"/>
        <w:ind w:left="720" w:right="116" w:firstLine="720"/>
        <w:jc w:val="center"/>
        <w:rPr>
          <w:rFonts w:ascii="Times New Roman" w:hAnsi="Times New Roman"/>
          <w:sz w:val="20"/>
        </w:rPr>
      </w:pPr>
      <w:r>
        <w:rPr>
          <w:rFonts w:ascii="Arial" w:hAnsi="Arial"/>
          <w:b/>
          <w:color w:val="231F20"/>
          <w:sz w:val="24"/>
        </w:rPr>
        <w:t>NOTICE OF ANNUAL GENERAL MEETING</w:t>
      </w:r>
      <w:r>
        <w:rPr>
          <w:rFonts w:ascii="Times New Roman" w:hAnsi="Times New Roman"/>
          <w:color w:val="231F20"/>
          <w:sz w:val="20"/>
        </w:rPr>
        <w:t xml:space="preserve"> </w:t>
      </w:r>
    </w:p>
    <w:p>
      <w:pPr>
        <w:pStyle w:val="TextBody"/>
        <w:bidi w:val="0"/>
        <w:spacing w:before="155" w:after="283"/>
        <w:ind w:left="720" w:right="116" w:firstLine="720"/>
        <w:jc w:val="center"/>
        <w:rPr>
          <w:rFonts w:ascii="Times New Roman" w:hAnsi="Times New Roman"/>
          <w:sz w:val="20"/>
        </w:rPr>
      </w:pPr>
      <w:r>
        <w:rPr>
          <w:rFonts w:ascii="Arial" w:hAnsi="Arial"/>
          <w:b/>
          <w:color w:val="231F20"/>
          <w:sz w:val="20"/>
        </w:rPr>
        <w:t>CHINA YUCHAI INTERNATIONAL LIMITED</w:t>
      </w:r>
      <w:r>
        <w:rPr>
          <w:rFonts w:ascii="Times New Roman" w:hAnsi="Times New Roman"/>
          <w:color w:val="231F20"/>
          <w:sz w:val="20"/>
        </w:rPr>
        <w:t xml:space="preserve"> </w:t>
      </w:r>
    </w:p>
    <w:p>
      <w:pPr>
        <w:pStyle w:val="TextBody"/>
        <w:bidi w:val="0"/>
        <w:jc w:val="both"/>
        <w:rPr/>
      </w:pPr>
      <w:r>
        <w:rPr/>
        <w:t> </w:t>
      </w:r>
    </w:p>
    <w:p>
      <w:pPr>
        <w:pStyle w:val="TextBody"/>
        <w:bidi w:val="0"/>
        <w:jc w:val="both"/>
        <w:rPr>
          <w:rFonts w:ascii="Arial" w:hAnsi="Arial"/>
          <w:b/>
          <w:color w:val="191919"/>
          <w:sz w:val="22"/>
        </w:rPr>
      </w:pPr>
      <w:r>
        <w:rPr>
          <w:rFonts w:ascii="Arial" w:hAnsi="Arial"/>
          <w:b/>
          <w:color w:val="191919"/>
          <w:sz w:val="22"/>
        </w:rPr>
        <w:t>Singapore, July 7, 2026/PRNewswire/ -- To all Shareholders</w:t>
      </w:r>
    </w:p>
    <w:p>
      <w:pPr>
        <w:pStyle w:val="TextBody"/>
        <w:bidi w:val="0"/>
        <w:jc w:val="left"/>
        <w:rPr/>
      </w:pPr>
      <w:r>
        <w:rPr/>
        <w:t> </w:t>
      </w:r>
    </w:p>
    <w:p>
      <w:pPr>
        <w:pStyle w:val="TextBody"/>
        <w:bidi w:val="0"/>
        <w:spacing w:before="155" w:after="283"/>
        <w:ind w:left="120" w:right="116" w:hanging="0"/>
        <w:jc w:val="both"/>
        <w:rPr>
          <w:rFonts w:ascii="Times New Roman" w:hAnsi="Times New Roman"/>
          <w:sz w:val="20"/>
        </w:rPr>
      </w:pPr>
      <w:r>
        <w:rPr>
          <w:rFonts w:ascii="Arial" w:hAnsi="Arial"/>
          <w:color w:val="231F20"/>
          <w:sz w:val="20"/>
        </w:rPr>
        <w:t>NOTICE IS HEREBY GIVEN that the Annual General Meeting (the “</w:t>
      </w:r>
      <w:r>
        <w:rPr>
          <w:rFonts w:ascii="Arial" w:hAnsi="Arial"/>
          <w:b/>
          <w:color w:val="231F20"/>
          <w:sz w:val="20"/>
        </w:rPr>
        <w:t>Meeting</w:t>
      </w:r>
      <w:r>
        <w:rPr>
          <w:rFonts w:ascii="Times New Roman" w:hAnsi="Times New Roman"/>
          <w:color w:val="231F20"/>
          <w:sz w:val="20"/>
        </w:rPr>
        <w:t>”</w:t>
      </w:r>
      <w:r>
        <w:rPr>
          <w:rFonts w:ascii="Arial" w:hAnsi="Arial"/>
          <w:color w:val="231F20"/>
          <w:sz w:val="20"/>
        </w:rPr>
        <w:t xml:space="preserve">) of </w:t>
      </w:r>
      <w:r>
        <w:rPr>
          <w:rFonts w:ascii="Arial" w:hAnsi="Arial"/>
          <w:b/>
          <w:color w:val="231F20"/>
          <w:sz w:val="20"/>
        </w:rPr>
        <w:t xml:space="preserve">CHINA YUCHAI INTERNATIONAL LIMITED </w:t>
      </w:r>
      <w:r>
        <w:rPr>
          <w:rFonts w:ascii="Arial" w:hAnsi="Arial"/>
          <w:color w:val="231F20"/>
          <w:sz w:val="20"/>
        </w:rPr>
        <w:t>(the “</w:t>
      </w:r>
      <w:r>
        <w:rPr>
          <w:rFonts w:ascii="Arial" w:hAnsi="Arial"/>
          <w:b/>
          <w:color w:val="231F20"/>
          <w:sz w:val="20"/>
        </w:rPr>
        <w:t>Company</w:t>
      </w:r>
      <w:r>
        <w:rPr>
          <w:rFonts w:ascii="Times New Roman" w:hAnsi="Times New Roman"/>
          <w:color w:val="231F20"/>
          <w:sz w:val="20"/>
        </w:rPr>
        <w:t>”</w:t>
      </w:r>
      <w:r>
        <w:rPr>
          <w:rFonts w:ascii="Arial" w:hAnsi="Arial"/>
          <w:color w:val="231F20"/>
          <w:sz w:val="20"/>
        </w:rPr>
        <w:t>) will be held at Caliche Board Room, Level 26, Hong Leong Building, 16 Raffles Quay, Singapore 048581 on Thursday, August 6, 2026, at 10.00 a.m. (local time), for the following purposes:</w:t>
      </w:r>
    </w:p>
    <w:p>
      <w:pPr>
        <w:pStyle w:val="TextBody"/>
        <w:bidi w:val="0"/>
        <w:spacing w:before="144" w:after="283"/>
        <w:ind w:left="120" w:right="0" w:hanging="0"/>
        <w:jc w:val="left"/>
        <w:rPr>
          <w:rFonts w:ascii="Arial" w:hAnsi="Arial"/>
          <w:color w:val="231F20"/>
          <w:sz w:val="20"/>
        </w:rPr>
      </w:pPr>
      <w:r>
        <w:rPr>
          <w:rFonts w:ascii="Arial" w:hAnsi="Arial"/>
          <w:color w:val="231F20"/>
          <w:sz w:val="20"/>
        </w:rPr>
        <w:t>As Ordinary Business</w:t>
      </w:r>
    </w:p>
    <w:p>
      <w:pPr>
        <w:pStyle w:val="TextBody"/>
        <w:bidi w:val="0"/>
        <w:spacing w:before="155" w:after="283"/>
        <w:ind w:left="115" w:right="115" w:hanging="0"/>
        <w:jc w:val="both"/>
        <w:rPr>
          <w:rFonts w:ascii="Arial" w:hAnsi="Arial"/>
          <w:color w:val="231F20"/>
          <w:sz w:val="20"/>
        </w:rPr>
      </w:pPr>
      <w:r>
        <w:rPr>
          <w:rFonts w:ascii="Arial" w:hAnsi="Arial"/>
          <w:color w:val="231F20"/>
          <w:sz w:val="20"/>
        </w:rPr>
        <w:t>1.</w:t>
      </w:r>
    </w:p>
    <w:p>
      <w:pPr>
        <w:pStyle w:val="TextBody"/>
        <w:bidi w:val="0"/>
        <w:spacing w:before="155" w:after="283"/>
        <w:jc w:val="both"/>
        <w:rPr>
          <w:rFonts w:ascii="Arial" w:hAnsi="Arial"/>
          <w:color w:val="231F20"/>
          <w:sz w:val="20"/>
        </w:rPr>
      </w:pPr>
      <w:r>
        <w:rPr>
          <w:rFonts w:ascii="Arial" w:hAnsi="Arial"/>
          <w:color w:val="231F20"/>
          <w:sz w:val="20"/>
        </w:rPr>
        <w:t>To receive and adopt the audited financial statements and independent auditors’ report for the financial year ended December 31, 2025.</w:t>
      </w:r>
    </w:p>
    <w:p>
      <w:pPr>
        <w:pStyle w:val="TextBody"/>
        <w:bidi w:val="0"/>
        <w:spacing w:before="159" w:after="283"/>
        <w:ind w:left="115" w:right="115" w:hanging="0"/>
        <w:jc w:val="both"/>
        <w:rPr>
          <w:rFonts w:ascii="Arial" w:hAnsi="Arial"/>
          <w:color w:val="231F20"/>
          <w:sz w:val="20"/>
        </w:rPr>
      </w:pPr>
      <w:r>
        <w:rPr>
          <w:rFonts w:ascii="Arial" w:hAnsi="Arial"/>
          <w:color w:val="231F20"/>
          <w:sz w:val="20"/>
        </w:rPr>
        <w:t>2.</w:t>
      </w:r>
    </w:p>
    <w:p>
      <w:pPr>
        <w:pStyle w:val="TextBody"/>
        <w:bidi w:val="0"/>
        <w:spacing w:before="159" w:after="283"/>
        <w:jc w:val="both"/>
        <w:rPr/>
      </w:pPr>
      <w:r>
        <w:rPr>
          <w:rFonts w:ascii="Arial" w:hAnsi="Arial"/>
          <w:color w:val="231F20"/>
          <w:sz w:val="20"/>
        </w:rPr>
        <w:t>To approve an increase in the limit of the Directors’ fees as set out in Bye-law 10(11) of the Bye-laws of the Company from US$250,000 to US$689,068</w:t>
      </w:r>
      <w:r>
        <w:rPr>
          <w:color w:val="191919"/>
        </w:rPr>
        <w:t xml:space="preserve"> </w:t>
      </w:r>
      <w:r>
        <w:rPr>
          <w:rFonts w:ascii="Arial" w:hAnsi="Arial"/>
          <w:color w:val="231F20"/>
          <w:sz w:val="20"/>
        </w:rPr>
        <w:t>for the financial year ended December 31, 2025 (Directors’ fees paid for the financial year ended December 31, 2024 was US$700,000).</w:t>
      </w:r>
    </w:p>
    <w:p>
      <w:pPr>
        <w:pStyle w:val="TextBody"/>
        <w:bidi w:val="0"/>
        <w:spacing w:before="160" w:after="283"/>
        <w:ind w:left="115" w:right="115" w:hanging="0"/>
        <w:jc w:val="both"/>
        <w:rPr>
          <w:rFonts w:ascii="Arial" w:hAnsi="Arial"/>
          <w:color w:val="231F20"/>
          <w:sz w:val="20"/>
        </w:rPr>
      </w:pPr>
      <w:r>
        <w:rPr>
          <w:rFonts w:ascii="Arial" w:hAnsi="Arial"/>
          <w:color w:val="231F20"/>
          <w:sz w:val="20"/>
        </w:rPr>
        <w:t>3.</w:t>
      </w:r>
    </w:p>
    <w:p>
      <w:pPr>
        <w:pStyle w:val="TextBody"/>
        <w:bidi w:val="0"/>
        <w:spacing w:before="160" w:after="283"/>
        <w:jc w:val="both"/>
        <w:rPr>
          <w:rFonts w:ascii="Arial" w:hAnsi="Arial"/>
          <w:color w:val="231F20"/>
          <w:sz w:val="20"/>
        </w:rPr>
      </w:pPr>
      <w:r>
        <w:rPr>
          <w:rFonts w:ascii="Arial" w:hAnsi="Arial"/>
          <w:color w:val="231F20"/>
          <w:sz w:val="20"/>
        </w:rPr>
        <w:t>To re-elect the following Directors retiring pursuant to Bye-law 4(2) of the Bye-laws of the Company to hold office until the next annual general meeting of the Company:</w:t>
      </w:r>
    </w:p>
    <w:p>
      <w:pPr>
        <w:pStyle w:val="TextBody"/>
        <w:bidi w:val="0"/>
        <w:spacing w:before="6" w:after="1"/>
        <w:jc w:val="left"/>
        <w:rPr/>
      </w:pPr>
      <w:r>
        <w:rPr/>
        <w:t> </w:t>
      </w:r>
    </w:p>
    <w:tbl>
      <w:tblPr>
        <w:tblW w:w="5394" w:type="dxa"/>
        <w:jc w:val="left"/>
        <w:tblInd w:w="0" w:type="dxa"/>
        <w:tblLayout w:type="fixed"/>
        <w:tblCellMar>
          <w:top w:w="28" w:type="dxa"/>
          <w:left w:w="28" w:type="dxa"/>
          <w:bottom w:w="28" w:type="dxa"/>
          <w:right w:w="28" w:type="dxa"/>
        </w:tblCellMar>
      </w:tblPr>
      <w:tblGrid>
        <w:gridCol w:w="2871"/>
        <w:gridCol w:w="582"/>
        <w:gridCol w:w="1941"/>
      </w:tblGrid>
      <w:tr>
        <w:trPr/>
        <w:tc>
          <w:tcPr>
            <w:tcW w:w="2871"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941" w:type="dxa"/>
            <w:tcBorders/>
            <w:vAlign w:val="center"/>
          </w:tcPr>
          <w:p>
            <w:pPr>
              <w:pStyle w:val="TableContents"/>
              <w:bidi w:val="0"/>
              <w:spacing w:before="0" w:after="283"/>
              <w:ind w:left="0" w:right="0" w:firstLine="50"/>
              <w:jc w:val="left"/>
              <w:rPr>
                <w:sz w:val="4"/>
                <w:szCs w:val="4"/>
              </w:rPr>
            </w:pPr>
            <w:r>
              <w:rPr>
                <w:sz w:val="4"/>
                <w:szCs w:val="4"/>
              </w:rPr>
            </w:r>
          </w:p>
        </w:tc>
      </w:tr>
      <w:tr>
        <w:trPr/>
        <w:tc>
          <w:tcPr>
            <w:tcW w:w="2871" w:type="dxa"/>
            <w:tcBorders/>
            <w:tcMar>
              <w:top w:w="0" w:type="dxa"/>
              <w:left w:w="0" w:type="dxa"/>
              <w:bottom w:w="0" w:type="dxa"/>
              <w:right w:w="0" w:type="dxa"/>
            </w:tcMar>
            <w:vAlign w:val="center"/>
          </w:tcPr>
          <w:p>
            <w:pPr>
              <w:pStyle w:val="TableContents"/>
              <w:bidi w:val="0"/>
              <w:spacing w:before="0" w:after="283"/>
              <w:ind w:left="50" w:right="0" w:firstLine="50"/>
              <w:jc w:val="left"/>
              <w:rPr>
                <w:rFonts w:ascii="Arial" w:hAnsi="Arial"/>
                <w:color w:val="231F20"/>
                <w:sz w:val="20"/>
              </w:rPr>
            </w:pPr>
            <w:r>
              <w:rPr>
                <w:rFonts w:ascii="Arial" w:hAnsi="Arial"/>
                <w:color w:val="231F20"/>
                <w:sz w:val="20"/>
              </w:rPr>
              <w:t>(i) Mr. Kwek Leng Peck</w:t>
            </w:r>
          </w:p>
        </w:tc>
        <w:tc>
          <w:tcPr>
            <w:tcW w:w="582" w:type="dxa"/>
            <w:tcBorders/>
            <w:tcMar>
              <w:top w:w="0" w:type="dxa"/>
              <w:left w:w="0" w:type="dxa"/>
              <w:bottom w:w="0" w:type="dxa"/>
              <w:right w:w="0" w:type="dxa"/>
            </w:tcMar>
            <w:vAlign w:val="center"/>
          </w:tcPr>
          <w:p>
            <w:pPr>
              <w:pStyle w:val="TableContents"/>
              <w:bidi w:val="0"/>
              <w:spacing w:before="0" w:after="283"/>
              <w:ind w:left="0" w:right="0" w:firstLine="116"/>
              <w:jc w:val="right"/>
              <w:rPr>
                <w:rFonts w:ascii="Arial" w:hAnsi="Arial"/>
                <w:color w:val="231F20"/>
                <w:sz w:val="20"/>
              </w:rPr>
            </w:pPr>
            <w:r>
              <w:rPr>
                <w:rFonts w:ascii="Arial" w:hAnsi="Arial"/>
                <w:color w:val="231F20"/>
                <w:sz w:val="20"/>
              </w:rPr>
              <w:t>(vi)</w:t>
            </w:r>
          </w:p>
        </w:tc>
        <w:tc>
          <w:tcPr>
            <w:tcW w:w="1941" w:type="dxa"/>
            <w:tcBorders/>
            <w:tcMar>
              <w:top w:w="0" w:type="dxa"/>
              <w:left w:w="0" w:type="dxa"/>
              <w:bottom w:w="0" w:type="dxa"/>
              <w:right w:w="0" w:type="dxa"/>
            </w:tcMar>
            <w:vAlign w:val="center"/>
          </w:tcPr>
          <w:p>
            <w:pPr>
              <w:pStyle w:val="TableContents"/>
              <w:bidi w:val="0"/>
              <w:spacing w:before="0" w:after="283"/>
              <w:ind w:left="0" w:right="0" w:firstLine="50"/>
              <w:jc w:val="left"/>
              <w:rPr>
                <w:rFonts w:ascii="Arial" w:hAnsi="Arial"/>
                <w:color w:val="231F20"/>
                <w:sz w:val="20"/>
              </w:rPr>
            </w:pPr>
            <w:r>
              <w:rPr>
                <w:rFonts w:ascii="Arial" w:hAnsi="Arial"/>
                <w:color w:val="231F20"/>
                <w:sz w:val="20"/>
              </w:rPr>
              <w:t>Mr. Xie Tao</w:t>
            </w:r>
          </w:p>
        </w:tc>
      </w:tr>
      <w:tr>
        <w:trPr/>
        <w:tc>
          <w:tcPr>
            <w:tcW w:w="2871" w:type="dxa"/>
            <w:tcBorders/>
            <w:tcMar>
              <w:top w:w="0" w:type="dxa"/>
              <w:left w:w="0" w:type="dxa"/>
              <w:bottom w:w="0" w:type="dxa"/>
              <w:right w:w="0" w:type="dxa"/>
            </w:tcMar>
            <w:vAlign w:val="center"/>
          </w:tcPr>
          <w:p>
            <w:pPr>
              <w:pStyle w:val="TableContents"/>
              <w:bidi w:val="0"/>
              <w:spacing w:before="0" w:after="283"/>
              <w:ind w:left="50" w:right="0" w:firstLine="50"/>
              <w:jc w:val="left"/>
              <w:rPr>
                <w:rFonts w:ascii="Arial" w:hAnsi="Arial"/>
                <w:color w:val="231F20"/>
                <w:sz w:val="20"/>
              </w:rPr>
            </w:pPr>
            <w:r>
              <w:rPr>
                <w:rFonts w:ascii="Arial" w:hAnsi="Arial"/>
                <w:color w:val="231F20"/>
                <w:sz w:val="20"/>
              </w:rPr>
              <w:t>(ii) Mr. Gan Khai Choon</w:t>
            </w:r>
          </w:p>
        </w:tc>
        <w:tc>
          <w:tcPr>
            <w:tcW w:w="582" w:type="dxa"/>
            <w:tcBorders/>
            <w:tcMar>
              <w:top w:w="0" w:type="dxa"/>
              <w:left w:w="0" w:type="dxa"/>
              <w:bottom w:w="0" w:type="dxa"/>
              <w:right w:w="0" w:type="dxa"/>
            </w:tcMar>
            <w:vAlign w:val="center"/>
          </w:tcPr>
          <w:p>
            <w:pPr>
              <w:pStyle w:val="TableContents"/>
              <w:bidi w:val="0"/>
              <w:spacing w:before="0" w:after="283"/>
              <w:ind w:left="0" w:right="0" w:firstLine="116"/>
              <w:jc w:val="right"/>
              <w:rPr>
                <w:rFonts w:ascii="Arial" w:hAnsi="Arial"/>
                <w:color w:val="231F20"/>
                <w:sz w:val="20"/>
              </w:rPr>
            </w:pPr>
            <w:r>
              <w:rPr>
                <w:rFonts w:ascii="Arial" w:hAnsi="Arial"/>
                <w:color w:val="231F20"/>
                <w:sz w:val="20"/>
              </w:rPr>
              <w:t>(vii)</w:t>
            </w:r>
          </w:p>
        </w:tc>
        <w:tc>
          <w:tcPr>
            <w:tcW w:w="1941" w:type="dxa"/>
            <w:tcBorders/>
            <w:tcMar>
              <w:top w:w="0" w:type="dxa"/>
              <w:left w:w="0" w:type="dxa"/>
              <w:bottom w:w="0" w:type="dxa"/>
              <w:right w:w="0" w:type="dxa"/>
            </w:tcMar>
            <w:vAlign w:val="center"/>
          </w:tcPr>
          <w:p>
            <w:pPr>
              <w:pStyle w:val="TableContents"/>
              <w:bidi w:val="0"/>
              <w:spacing w:before="0" w:after="283"/>
              <w:ind w:left="0" w:right="0" w:firstLine="50"/>
              <w:jc w:val="left"/>
              <w:rPr>
                <w:rFonts w:ascii="Arial" w:hAnsi="Arial"/>
                <w:color w:val="231F20"/>
                <w:sz w:val="20"/>
              </w:rPr>
            </w:pPr>
            <w:r>
              <w:rPr>
                <w:rFonts w:ascii="Arial" w:hAnsi="Arial"/>
                <w:color w:val="231F20"/>
                <w:sz w:val="20"/>
              </w:rPr>
              <w:t>Mr. Neo Poh Kiat</w:t>
            </w:r>
          </w:p>
        </w:tc>
      </w:tr>
      <w:tr>
        <w:trPr/>
        <w:tc>
          <w:tcPr>
            <w:tcW w:w="2871" w:type="dxa"/>
            <w:tcBorders/>
            <w:tcMar>
              <w:top w:w="0" w:type="dxa"/>
              <w:left w:w="0" w:type="dxa"/>
              <w:bottom w:w="0" w:type="dxa"/>
              <w:right w:w="0" w:type="dxa"/>
            </w:tcMar>
            <w:vAlign w:val="center"/>
          </w:tcPr>
          <w:p>
            <w:pPr>
              <w:pStyle w:val="TableContents"/>
              <w:bidi w:val="0"/>
              <w:spacing w:before="0" w:after="283"/>
              <w:ind w:left="50" w:right="0" w:firstLine="50"/>
              <w:jc w:val="left"/>
              <w:rPr>
                <w:rFonts w:ascii="Arial" w:hAnsi="Arial"/>
                <w:color w:val="231F20"/>
                <w:sz w:val="20"/>
              </w:rPr>
            </w:pPr>
            <w:r>
              <w:rPr>
                <w:rFonts w:ascii="Arial" w:hAnsi="Arial"/>
                <w:color w:val="231F20"/>
                <w:sz w:val="20"/>
              </w:rPr>
              <w:t>(iii) Mr. Stephen Ho Kiam Kong</w:t>
            </w:r>
          </w:p>
        </w:tc>
        <w:tc>
          <w:tcPr>
            <w:tcW w:w="582" w:type="dxa"/>
            <w:tcBorders/>
            <w:tcMar>
              <w:top w:w="0" w:type="dxa"/>
              <w:left w:w="0" w:type="dxa"/>
              <w:bottom w:w="0" w:type="dxa"/>
              <w:right w:w="0" w:type="dxa"/>
            </w:tcMar>
            <w:vAlign w:val="center"/>
          </w:tcPr>
          <w:p>
            <w:pPr>
              <w:pStyle w:val="TableContents"/>
              <w:bidi w:val="0"/>
              <w:spacing w:before="0" w:after="283"/>
              <w:ind w:left="0" w:right="0" w:firstLine="116"/>
              <w:jc w:val="right"/>
              <w:rPr>
                <w:rFonts w:ascii="Arial" w:hAnsi="Arial"/>
                <w:color w:val="231F20"/>
                <w:sz w:val="20"/>
              </w:rPr>
            </w:pPr>
            <w:r>
              <w:rPr>
                <w:rFonts w:ascii="Arial" w:hAnsi="Arial"/>
                <w:color w:val="231F20"/>
                <w:sz w:val="20"/>
              </w:rPr>
              <w:t>(viii)</w:t>
            </w:r>
          </w:p>
        </w:tc>
        <w:tc>
          <w:tcPr>
            <w:tcW w:w="1941" w:type="dxa"/>
            <w:tcBorders/>
            <w:tcMar>
              <w:top w:w="0" w:type="dxa"/>
              <w:left w:w="0" w:type="dxa"/>
              <w:bottom w:w="0" w:type="dxa"/>
              <w:right w:w="0" w:type="dxa"/>
            </w:tcMar>
            <w:vAlign w:val="center"/>
          </w:tcPr>
          <w:p>
            <w:pPr>
              <w:pStyle w:val="TableContents"/>
              <w:bidi w:val="0"/>
              <w:spacing w:before="0" w:after="283"/>
              <w:ind w:left="0" w:right="0" w:firstLine="50"/>
              <w:jc w:val="left"/>
              <w:rPr>
                <w:rFonts w:ascii="Arial" w:hAnsi="Arial"/>
                <w:color w:val="231F20"/>
                <w:sz w:val="20"/>
              </w:rPr>
            </w:pPr>
            <w:r>
              <w:rPr>
                <w:rFonts w:ascii="Arial" w:hAnsi="Arial"/>
                <w:color w:val="231F20"/>
                <w:sz w:val="20"/>
              </w:rPr>
              <w:t>Mr. Wong Hong Wai</w:t>
            </w:r>
          </w:p>
        </w:tc>
      </w:tr>
      <w:tr>
        <w:trPr/>
        <w:tc>
          <w:tcPr>
            <w:tcW w:w="2871" w:type="dxa"/>
            <w:tcBorders/>
            <w:tcMar>
              <w:top w:w="0" w:type="dxa"/>
              <w:left w:w="0" w:type="dxa"/>
              <w:bottom w:w="0" w:type="dxa"/>
              <w:right w:w="0" w:type="dxa"/>
            </w:tcMar>
            <w:vAlign w:val="center"/>
          </w:tcPr>
          <w:p>
            <w:pPr>
              <w:pStyle w:val="TableContents"/>
              <w:bidi w:val="0"/>
              <w:spacing w:before="0" w:after="283"/>
              <w:ind w:left="50" w:right="0" w:firstLine="50"/>
              <w:jc w:val="left"/>
              <w:rPr>
                <w:rFonts w:ascii="Arial" w:hAnsi="Arial"/>
                <w:color w:val="231F20"/>
                <w:sz w:val="20"/>
              </w:rPr>
            </w:pPr>
            <w:r>
              <w:rPr>
                <w:rFonts w:ascii="Arial" w:hAnsi="Arial"/>
                <w:color w:val="231F20"/>
                <w:sz w:val="20"/>
              </w:rPr>
              <w:t>(iv) Mr. Hoh Weng Ming</w:t>
            </w:r>
          </w:p>
        </w:tc>
        <w:tc>
          <w:tcPr>
            <w:tcW w:w="582" w:type="dxa"/>
            <w:tcBorders/>
            <w:tcMar>
              <w:top w:w="0" w:type="dxa"/>
              <w:left w:w="0" w:type="dxa"/>
              <w:bottom w:w="0" w:type="dxa"/>
              <w:right w:w="0" w:type="dxa"/>
            </w:tcMar>
            <w:vAlign w:val="center"/>
          </w:tcPr>
          <w:p>
            <w:pPr>
              <w:pStyle w:val="TableContents"/>
              <w:bidi w:val="0"/>
              <w:spacing w:before="0" w:after="283"/>
              <w:ind w:left="0" w:right="0" w:firstLine="116"/>
              <w:jc w:val="right"/>
              <w:rPr/>
            </w:pPr>
            <w:r>
              <w:rPr/>
              <w:t> </w:t>
            </w:r>
          </w:p>
        </w:tc>
        <w:tc>
          <w:tcPr>
            <w:tcW w:w="1941" w:type="dxa"/>
            <w:tcBorders/>
            <w:tcMar>
              <w:top w:w="0" w:type="dxa"/>
              <w:left w:w="0" w:type="dxa"/>
              <w:bottom w:w="0" w:type="dxa"/>
              <w:right w:w="0" w:type="dxa"/>
            </w:tcMar>
            <w:vAlign w:val="center"/>
          </w:tcPr>
          <w:p>
            <w:pPr>
              <w:pStyle w:val="TableContents"/>
              <w:bidi w:val="0"/>
              <w:spacing w:before="0" w:after="283"/>
              <w:ind w:left="0" w:right="0" w:firstLine="50"/>
              <w:jc w:val="left"/>
              <w:rPr/>
            </w:pPr>
            <w:r>
              <w:rPr/>
              <w:t> </w:t>
            </w:r>
          </w:p>
        </w:tc>
      </w:tr>
      <w:tr>
        <w:trPr/>
        <w:tc>
          <w:tcPr>
            <w:tcW w:w="2871" w:type="dxa"/>
            <w:tcBorders/>
            <w:tcMar>
              <w:top w:w="0" w:type="dxa"/>
              <w:left w:w="0" w:type="dxa"/>
              <w:bottom w:w="0" w:type="dxa"/>
              <w:right w:w="0" w:type="dxa"/>
            </w:tcMar>
            <w:vAlign w:val="center"/>
          </w:tcPr>
          <w:p>
            <w:pPr>
              <w:pStyle w:val="TableContents"/>
              <w:bidi w:val="0"/>
              <w:spacing w:before="0" w:after="283"/>
              <w:ind w:left="50" w:right="0" w:firstLine="50"/>
              <w:jc w:val="left"/>
              <w:rPr>
                <w:rFonts w:ascii="Arial" w:hAnsi="Arial"/>
                <w:color w:val="231F20"/>
                <w:sz w:val="20"/>
              </w:rPr>
            </w:pPr>
            <w:r>
              <w:rPr>
                <w:rFonts w:ascii="Arial" w:hAnsi="Arial"/>
                <w:color w:val="231F20"/>
                <w:sz w:val="20"/>
              </w:rPr>
              <w:t>(v) Mr. Li Hanyang</w:t>
            </w:r>
          </w:p>
        </w:tc>
        <w:tc>
          <w:tcPr>
            <w:tcW w:w="582" w:type="dxa"/>
            <w:tcBorders/>
            <w:tcMar>
              <w:top w:w="0" w:type="dxa"/>
              <w:left w:w="0" w:type="dxa"/>
              <w:bottom w:w="0" w:type="dxa"/>
              <w:right w:w="0" w:type="dxa"/>
            </w:tcMar>
            <w:vAlign w:val="center"/>
          </w:tcPr>
          <w:p>
            <w:pPr>
              <w:pStyle w:val="TableContents"/>
              <w:bidi w:val="0"/>
              <w:spacing w:before="0" w:after="283"/>
              <w:jc w:val="left"/>
              <w:rPr/>
            </w:pPr>
            <w:r>
              <w:rPr/>
              <w:t> </w:t>
            </w:r>
          </w:p>
        </w:tc>
        <w:tc>
          <w:tcPr>
            <w:tcW w:w="194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55" w:after="283"/>
        <w:ind w:left="115" w:right="115" w:hanging="0"/>
        <w:jc w:val="both"/>
        <w:rPr>
          <w:rFonts w:ascii="Arial" w:hAnsi="Arial"/>
          <w:color w:val="231F20"/>
          <w:sz w:val="20"/>
        </w:rPr>
      </w:pPr>
      <w:r>
        <w:rPr>
          <w:rFonts w:ascii="Arial" w:hAnsi="Arial"/>
          <w:color w:val="231F20"/>
          <w:sz w:val="20"/>
        </w:rPr>
        <w:t>4.</w:t>
      </w:r>
    </w:p>
    <w:p>
      <w:pPr>
        <w:pStyle w:val="TextBody"/>
        <w:bidi w:val="0"/>
        <w:spacing w:before="155" w:after="283"/>
        <w:jc w:val="both"/>
        <w:rPr>
          <w:rFonts w:ascii="Arial" w:hAnsi="Arial"/>
          <w:color w:val="231F20"/>
          <w:sz w:val="20"/>
        </w:rPr>
      </w:pPr>
      <w:r>
        <w:rPr>
          <w:rFonts w:ascii="Arial" w:hAnsi="Arial"/>
          <w:color w:val="231F20"/>
          <w:sz w:val="20"/>
        </w:rPr>
        <w:t>To re-elect Ms. Jiang Fei (appointed as a Director on December 23, 2025) retiring pursuant to Bye-law 4(3) of the Bye-laws of the Company to hold office until the next annual general meeting of the Company.</w:t>
      </w:r>
    </w:p>
    <w:p>
      <w:pPr>
        <w:pStyle w:val="TextBody"/>
        <w:bidi w:val="0"/>
        <w:spacing w:before="155" w:after="283"/>
        <w:ind w:left="115" w:right="115" w:hanging="0"/>
        <w:jc w:val="both"/>
        <w:rPr>
          <w:rFonts w:ascii="Arial" w:hAnsi="Arial"/>
          <w:color w:val="231F20"/>
          <w:sz w:val="20"/>
        </w:rPr>
      </w:pPr>
      <w:r>
        <w:rPr>
          <w:rFonts w:ascii="Arial" w:hAnsi="Arial"/>
          <w:color w:val="231F20"/>
          <w:sz w:val="20"/>
        </w:rPr>
        <w:t>5.</w:t>
      </w:r>
    </w:p>
    <w:p>
      <w:pPr>
        <w:pStyle w:val="TextBody"/>
        <w:bidi w:val="0"/>
        <w:spacing w:before="155" w:after="283"/>
        <w:jc w:val="both"/>
        <w:rPr>
          <w:rFonts w:ascii="Arial" w:hAnsi="Arial"/>
          <w:color w:val="231F20"/>
          <w:sz w:val="20"/>
        </w:rPr>
      </w:pPr>
      <w:r>
        <w:rPr>
          <w:rFonts w:ascii="Arial" w:hAnsi="Arial"/>
          <w:color w:val="231F20"/>
          <w:sz w:val="20"/>
        </w:rPr>
        <w:t>To authorize the Board of Directors to appoint up to the maximum of 11 Directors or such maximum number as determined from time to time by the shareholders in general meeting to fill any vacancies on the Board.</w:t>
      </w:r>
    </w:p>
    <w:p>
      <w:pPr>
        <w:pStyle w:val="TextBody"/>
        <w:bidi w:val="0"/>
        <w:spacing w:before="161" w:after="283"/>
        <w:ind w:left="115" w:right="115" w:hanging="0"/>
        <w:jc w:val="both"/>
        <w:rPr>
          <w:rFonts w:ascii="Arial" w:hAnsi="Arial"/>
          <w:color w:val="231F20"/>
          <w:sz w:val="20"/>
        </w:rPr>
      </w:pPr>
      <w:r>
        <w:rPr>
          <w:rFonts w:ascii="Arial" w:hAnsi="Arial"/>
          <w:color w:val="231F20"/>
          <w:sz w:val="20"/>
        </w:rPr>
        <w:t>6.</w:t>
      </w:r>
    </w:p>
    <w:p>
      <w:pPr>
        <w:pStyle w:val="TextBody"/>
        <w:bidi w:val="0"/>
        <w:spacing w:before="161" w:after="283"/>
        <w:jc w:val="both"/>
        <w:rPr>
          <w:rFonts w:ascii="Arial" w:hAnsi="Arial"/>
          <w:color w:val="231F20"/>
          <w:sz w:val="20"/>
        </w:rPr>
      </w:pPr>
      <w:r>
        <w:rPr>
          <w:rFonts w:ascii="Arial" w:hAnsi="Arial"/>
          <w:color w:val="231F20"/>
          <w:sz w:val="20"/>
        </w:rPr>
        <w:t>To re-appoint Ernst &amp; Young LLP as independent auditors of the Company and to authorize the Audit Committee to fix their remuneration.</w:t>
      </w:r>
    </w:p>
    <w:p>
      <w:pPr>
        <w:pStyle w:val="TextBody"/>
        <w:bidi w:val="0"/>
        <w:spacing w:before="160" w:after="283"/>
        <w:ind w:left="115" w:right="115" w:hanging="0"/>
        <w:jc w:val="both"/>
        <w:rPr>
          <w:rFonts w:ascii="Arial" w:hAnsi="Arial"/>
          <w:color w:val="231F20"/>
          <w:sz w:val="20"/>
        </w:rPr>
      </w:pPr>
      <w:r>
        <w:rPr>
          <w:rFonts w:ascii="Arial" w:hAnsi="Arial"/>
          <w:color w:val="231F20"/>
          <w:sz w:val="20"/>
        </w:rPr>
        <w:t>7.</w:t>
      </w:r>
    </w:p>
    <w:p>
      <w:pPr>
        <w:pStyle w:val="TextBody"/>
        <w:bidi w:val="0"/>
        <w:spacing w:before="160" w:after="283"/>
        <w:jc w:val="both"/>
        <w:rPr>
          <w:rFonts w:ascii="Arial" w:hAnsi="Arial"/>
          <w:color w:val="231F20"/>
          <w:sz w:val="20"/>
        </w:rPr>
      </w:pPr>
      <w:r>
        <w:rPr>
          <w:rFonts w:ascii="Arial" w:hAnsi="Arial"/>
          <w:color w:val="231F20"/>
          <w:sz w:val="20"/>
        </w:rPr>
        <w:t>To transact any other business as may properly come before the Meeting or any other adjournment thereof.</w:t>
      </w:r>
    </w:p>
    <w:p>
      <w:pPr>
        <w:pStyle w:val="TextBody"/>
        <w:bidi w:val="0"/>
        <w:spacing w:before="143" w:after="283"/>
        <w:ind w:left="120" w:right="0" w:hanging="0"/>
        <w:jc w:val="left"/>
        <w:rPr/>
      </w:pPr>
      <w:r>
        <w:rPr/>
        <w:t> </w:t>
      </w:r>
    </w:p>
    <w:p>
      <w:pPr>
        <w:pStyle w:val="TextBody"/>
        <w:bidi w:val="0"/>
        <w:spacing w:before="143" w:after="283"/>
        <w:ind w:left="120" w:right="0" w:hanging="0"/>
        <w:jc w:val="left"/>
        <w:rPr>
          <w:rFonts w:ascii="Arial" w:hAnsi="Arial"/>
          <w:color w:val="231F20"/>
          <w:sz w:val="20"/>
        </w:rPr>
      </w:pPr>
      <w:r>
        <w:rPr>
          <w:rFonts w:ascii="Arial" w:hAnsi="Arial"/>
          <w:color w:val="231F20"/>
          <w:sz w:val="20"/>
        </w:rPr>
        <w:t>By Order of the Board</w:t>
      </w:r>
    </w:p>
    <w:p>
      <w:pPr>
        <w:pStyle w:val="TextBody"/>
        <w:bidi w:val="0"/>
        <w:spacing w:before="155" w:after="283"/>
        <w:ind w:left="120" w:right="7027" w:hanging="0"/>
        <w:jc w:val="left"/>
        <w:rPr/>
      </w:pPr>
      <w:r>
        <w:rPr/>
        <w:t> </w:t>
      </w:r>
    </w:p>
    <w:p>
      <w:pPr>
        <w:pStyle w:val="TextBody"/>
        <w:bidi w:val="0"/>
        <w:spacing w:before="155" w:after="283"/>
        <w:ind w:left="120" w:right="7027" w:hanging="0"/>
        <w:jc w:val="left"/>
        <w:rPr>
          <w:rFonts w:ascii="Arial" w:hAnsi="Arial"/>
          <w:color w:val="231F20"/>
          <w:sz w:val="20"/>
        </w:rPr>
      </w:pPr>
      <w:r>
        <w:rPr>
          <w:rFonts w:ascii="Arial" w:hAnsi="Arial"/>
          <w:color w:val="231F20"/>
          <w:sz w:val="20"/>
        </w:rPr>
        <w:t>Hoh Weng Ming President</w:t>
      </w:r>
    </w:p>
    <w:p>
      <w:pPr>
        <w:pStyle w:val="TextBody"/>
        <w:bidi w:val="0"/>
        <w:ind w:left="120" w:right="0" w:hanging="0"/>
        <w:jc w:val="left"/>
        <w:rPr>
          <w:rFonts w:ascii="Arial" w:hAnsi="Arial"/>
          <w:color w:val="231F20"/>
          <w:sz w:val="20"/>
        </w:rPr>
      </w:pPr>
      <w:r>
        <w:rPr>
          <w:rFonts w:ascii="Arial" w:hAnsi="Arial"/>
          <w:color w:val="231F20"/>
          <w:sz w:val="20"/>
        </w:rPr>
        <w:t>July 7, 2026</w:t>
      </w:r>
    </w:p>
    <w:p>
      <w:pPr>
        <w:pStyle w:val="Heading1"/>
        <w:bidi w:val="0"/>
        <w:spacing w:before="72" w:after="283"/>
        <w:jc w:val="left"/>
        <w:rPr/>
      </w:pPr>
      <w:r>
        <w:rPr/>
        <w:t> </w:t>
      </w:r>
    </w:p>
    <w:p>
      <w:pPr>
        <w:pStyle w:val="Heading1"/>
        <w:bidi w:val="0"/>
        <w:spacing w:before="72" w:after="283"/>
        <w:jc w:val="left"/>
        <w:rPr>
          <w:rFonts w:ascii="Arial" w:hAnsi="Arial"/>
          <w:color w:val="231F20"/>
          <w:sz w:val="20"/>
        </w:rPr>
      </w:pPr>
      <w:r>
        <w:rPr>
          <w:rFonts w:ascii="Arial" w:hAnsi="Arial"/>
          <w:color w:val="231F20"/>
          <w:sz w:val="20"/>
        </w:rPr>
        <w:t>Important Notes:</w:t>
      </w:r>
    </w:p>
    <w:p>
      <w:pPr>
        <w:pStyle w:val="TextBody"/>
        <w:bidi w:val="0"/>
        <w:spacing w:before="240" w:after="283"/>
        <w:ind w:left="115" w:right="115" w:hanging="0"/>
        <w:jc w:val="both"/>
        <w:rPr>
          <w:rFonts w:ascii="Arial" w:hAnsi="Arial"/>
          <w:color w:val="231F20"/>
          <w:sz w:val="20"/>
        </w:rPr>
      </w:pPr>
      <w:r>
        <w:rPr>
          <w:rFonts w:ascii="Arial" w:hAnsi="Arial"/>
          <w:color w:val="231F20"/>
          <w:sz w:val="20"/>
        </w:rPr>
        <w:t>1.</w:t>
      </w:r>
    </w:p>
    <w:p>
      <w:pPr>
        <w:pStyle w:val="TextBody"/>
        <w:bidi w:val="0"/>
        <w:spacing w:before="240" w:after="283"/>
        <w:jc w:val="both"/>
        <w:rPr>
          <w:rFonts w:ascii="Arial" w:hAnsi="Arial"/>
          <w:color w:val="231F20"/>
          <w:sz w:val="20"/>
        </w:rPr>
      </w:pPr>
      <w:r>
        <w:rPr>
          <w:rFonts w:ascii="Arial" w:hAnsi="Arial"/>
          <w:color w:val="231F20"/>
          <w:sz w:val="20"/>
        </w:rPr>
        <w:t xml:space="preserve">By resolution of the Board, only Members entered in the Register of Members of the Company at the </w:t>
      </w:r>
    </w:p>
    <w:p>
      <w:pPr>
        <w:pStyle w:val="HorizontalLine"/>
        <w:pBdr>
          <w:bottom w:val="double" w:sz="2" w:space="0" w:color="808080"/>
        </w:pBdr>
        <w:bidi w:val="0"/>
        <w:spacing w:before="0" w:after="283"/>
        <w:jc w:val="left"/>
        <w:rPr/>
      </w:pPr>
      <w:r>
        <w:rPr/>
      </w:r>
    </w:p>
    <w:p>
      <w:pPr>
        <w:pStyle w:val="TextBody"/>
        <w:bidi w:val="0"/>
        <w:spacing w:before="240" w:after="283"/>
        <w:ind w:left="115" w:right="115" w:hanging="0"/>
        <w:jc w:val="both"/>
        <w:rPr/>
      </w:pPr>
      <w:r>
        <w:rPr>
          <w:rFonts w:ascii="Arial" w:hAnsi="Arial"/>
          <w:color w:val="231F20"/>
          <w:sz w:val="20"/>
        </w:rPr>
        <w:t xml:space="preserve">close of business on </w:t>
      </w:r>
      <w:r>
        <w:rPr>
          <w:rFonts w:ascii="Arial" w:hAnsi="Arial"/>
          <w:b/>
          <w:color w:val="231F20"/>
          <w:sz w:val="20"/>
        </w:rPr>
        <w:t>June 18, 2026</w:t>
      </w:r>
      <w:r>
        <w:rPr>
          <w:rFonts w:ascii="Arial" w:hAnsi="Arial"/>
          <w:color w:val="231F20"/>
          <w:sz w:val="20"/>
        </w:rPr>
        <w:t>, are entitled to receive notice of and to attend and vote at the Meeting.</w:t>
      </w:r>
    </w:p>
    <w:p>
      <w:pPr>
        <w:pStyle w:val="TextBody"/>
        <w:bidi w:val="0"/>
        <w:spacing w:before="240" w:after="283"/>
        <w:ind w:left="115" w:right="0" w:hanging="0"/>
        <w:jc w:val="left"/>
        <w:rPr>
          <w:rFonts w:ascii="Arial" w:hAnsi="Arial"/>
          <w:color w:val="231F20"/>
          <w:sz w:val="20"/>
        </w:rPr>
      </w:pPr>
      <w:r>
        <w:rPr>
          <w:rFonts w:ascii="Arial" w:hAnsi="Arial"/>
          <w:color w:val="231F20"/>
          <w:sz w:val="20"/>
        </w:rPr>
        <w:t>2.</w:t>
      </w:r>
    </w:p>
    <w:p>
      <w:pPr>
        <w:pStyle w:val="TextBody"/>
        <w:bidi w:val="0"/>
        <w:spacing w:before="240" w:after="283"/>
        <w:jc w:val="left"/>
        <w:rPr>
          <w:rFonts w:ascii="Arial" w:hAnsi="Arial"/>
          <w:color w:val="231F20"/>
          <w:sz w:val="20"/>
        </w:rPr>
      </w:pPr>
      <w:r>
        <w:rPr>
          <w:rFonts w:ascii="Arial" w:hAnsi="Arial"/>
          <w:color w:val="231F20"/>
          <w:sz w:val="20"/>
        </w:rPr>
        <w:t>A Member is entitled to appoint one or more proxies to attend the Meeting and vote in his stead.</w:t>
      </w:r>
    </w:p>
    <w:p>
      <w:pPr>
        <w:pStyle w:val="TextBody"/>
        <w:bidi w:val="0"/>
        <w:spacing w:before="240" w:after="283"/>
        <w:ind w:left="115" w:right="0" w:hanging="0"/>
        <w:jc w:val="left"/>
        <w:rPr>
          <w:rFonts w:ascii="Arial" w:hAnsi="Arial"/>
          <w:color w:val="231F20"/>
          <w:sz w:val="20"/>
        </w:rPr>
      </w:pPr>
      <w:r>
        <w:rPr>
          <w:rFonts w:ascii="Arial" w:hAnsi="Arial"/>
          <w:color w:val="231F20"/>
          <w:sz w:val="20"/>
        </w:rPr>
        <w:t>3.</w:t>
      </w:r>
    </w:p>
    <w:p>
      <w:pPr>
        <w:pStyle w:val="TextBody"/>
        <w:bidi w:val="0"/>
        <w:spacing w:before="240" w:after="283"/>
        <w:jc w:val="left"/>
        <w:rPr>
          <w:rFonts w:ascii="Arial" w:hAnsi="Arial"/>
          <w:color w:val="231F20"/>
          <w:sz w:val="20"/>
        </w:rPr>
      </w:pPr>
      <w:r>
        <w:rPr>
          <w:rFonts w:ascii="Arial" w:hAnsi="Arial"/>
          <w:color w:val="231F20"/>
          <w:sz w:val="20"/>
        </w:rPr>
        <w:t>A proxy need not be a Member of the Company.</w:t>
      </w:r>
    </w:p>
    <w:p>
      <w:pPr>
        <w:pStyle w:val="TextBody"/>
        <w:bidi w:val="0"/>
        <w:spacing w:before="240" w:after="283"/>
        <w:ind w:left="115" w:right="115" w:hanging="0"/>
        <w:jc w:val="both"/>
        <w:rPr>
          <w:rFonts w:ascii="Arial" w:hAnsi="Arial"/>
          <w:color w:val="231F20"/>
          <w:sz w:val="20"/>
        </w:rPr>
      </w:pPr>
      <w:r>
        <w:rPr>
          <w:rFonts w:ascii="Arial" w:hAnsi="Arial"/>
          <w:color w:val="231F20"/>
          <w:sz w:val="20"/>
        </w:rPr>
        <w:t>4.</w:t>
      </w:r>
    </w:p>
    <w:p>
      <w:pPr>
        <w:pStyle w:val="TextBody"/>
        <w:bidi w:val="0"/>
        <w:spacing w:before="240" w:after="283"/>
        <w:jc w:val="both"/>
        <w:rPr>
          <w:rFonts w:ascii="Arial" w:hAnsi="Arial"/>
          <w:color w:val="231F20"/>
          <w:sz w:val="20"/>
        </w:rPr>
      </w:pPr>
      <w:r>
        <w:rPr>
          <w:rFonts w:ascii="Arial" w:hAnsi="Arial"/>
          <w:color w:val="231F20"/>
          <w:sz w:val="20"/>
        </w:rPr>
        <w:t>Members are encouraged to vote in advance by internet, telephone or by mail per the instructions on the proxy form not less than 48 hours before the time appointed for the Meeting. Beneficial owners of shares held in street name will need to follow the instructions provided by the broker, bank or other nominee that holds their shares.</w:t>
      </w:r>
    </w:p>
    <w:p>
      <w:pPr>
        <w:pStyle w:val="TextBody"/>
        <w:bidi w:val="0"/>
        <w:spacing w:before="240" w:after="283"/>
        <w:ind w:left="115" w:right="115" w:hanging="0"/>
        <w:jc w:val="both"/>
        <w:rPr>
          <w:rFonts w:ascii="Arial" w:hAnsi="Arial"/>
          <w:color w:val="231F20"/>
          <w:sz w:val="20"/>
        </w:rPr>
      </w:pPr>
      <w:r>
        <w:rPr>
          <w:rFonts w:ascii="Arial" w:hAnsi="Arial"/>
          <w:color w:val="231F20"/>
          <w:sz w:val="20"/>
        </w:rPr>
        <w:t>5.</w:t>
      </w:r>
    </w:p>
    <w:p>
      <w:pPr>
        <w:pStyle w:val="TextBody"/>
        <w:bidi w:val="0"/>
        <w:spacing w:before="240" w:after="283"/>
        <w:jc w:val="both"/>
        <w:rPr>
          <w:rFonts w:ascii="Arial" w:hAnsi="Arial"/>
          <w:color w:val="231F20"/>
          <w:sz w:val="20"/>
        </w:rPr>
      </w:pPr>
      <w:r>
        <w:rPr>
          <w:rFonts w:ascii="Arial" w:hAnsi="Arial"/>
          <w:color w:val="231F20"/>
          <w:sz w:val="20"/>
        </w:rPr>
        <w:t>If a proxy is appointed, the proxy form and the power of attorney or other authority (if any) under which it is signed, must be lodged with the Company at 16 Raffles Quay, #26-00 Hong Leong Building, Singapore 048581, Republic of Singapore OR to Vote Processing, c/o Broadridge, 51 Mercedes Way, Edgewood, NY 11717 not less than 48 hours before the time appointed for the Meeting, that is no later than 10.00 a.m. Singapore Time on Tuesday, August 4, 2026, or 10.00p.m. Eastern Time on Monday, August 3, 2026.</w:t>
      </w:r>
    </w:p>
    <w:p>
      <w:pPr>
        <w:pStyle w:val="TextBody"/>
        <w:bidi w:val="0"/>
        <w:spacing w:before="240" w:after="283"/>
        <w:ind w:left="115" w:right="115" w:hanging="0"/>
        <w:jc w:val="both"/>
        <w:rPr>
          <w:rFonts w:ascii="Arial" w:hAnsi="Arial"/>
          <w:color w:val="231F20"/>
          <w:sz w:val="20"/>
        </w:rPr>
      </w:pPr>
      <w:r>
        <w:rPr>
          <w:rFonts w:ascii="Arial" w:hAnsi="Arial"/>
          <w:color w:val="231F20"/>
          <w:sz w:val="20"/>
        </w:rPr>
        <w:t>6.</w:t>
      </w:r>
    </w:p>
    <w:p>
      <w:pPr>
        <w:pStyle w:val="TextBody"/>
        <w:bidi w:val="0"/>
        <w:spacing w:before="240" w:after="283"/>
        <w:jc w:val="both"/>
        <w:rPr>
          <w:rFonts w:ascii="Arial" w:hAnsi="Arial"/>
          <w:color w:val="231F20"/>
          <w:sz w:val="20"/>
        </w:rPr>
      </w:pPr>
      <w:r>
        <w:rPr>
          <w:rFonts w:ascii="Arial" w:hAnsi="Arial"/>
          <w:color w:val="231F20"/>
          <w:sz w:val="20"/>
        </w:rPr>
        <w:t>Pursuant to the Bye-laws of the Company, no resolution of Members may be passed without the affirmative vote of the Special Share cast by the holder of the Special Share.</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ind w:left="0" w:right="0" w:firstLine="166"/>
        <w:jc w:val="left"/>
        <w:rPr>
          <w:rFonts w:ascii="Arial" w:hAnsi="Arial"/>
          <w:color w:val="000000"/>
          <w:sz w:val="21"/>
        </w:rPr>
      </w:pPr>
      <w:r>
        <w:rPr>
          <w:rFonts w:ascii="Arial" w:hAnsi="Arial"/>
          <w:color w:val="000000"/>
          <w:sz w:val="21"/>
        </w:rPr>
        <w:t>For more information:</w:t>
      </w:r>
    </w:p>
    <w:p>
      <w:pPr>
        <w:pStyle w:val="TextBody"/>
        <w:bidi w:val="0"/>
        <w:ind w:left="0" w:right="0" w:firstLine="166"/>
        <w:jc w:val="left"/>
        <w:rPr>
          <w:rFonts w:ascii="Times New Roman" w:hAnsi="Times New Roman"/>
          <w:sz w:val="20"/>
        </w:rPr>
      </w:pPr>
      <w:r>
        <w:rPr>
          <w:rFonts w:ascii="Arial" w:hAnsi="Arial"/>
          <w:color w:val="000000"/>
          <w:sz w:val="21"/>
        </w:rPr>
        <w:t>Investor Relations</w:t>
      </w:r>
      <w:r>
        <w:rPr>
          <w:rFonts w:ascii="Times New Roman" w:hAnsi="Times New Roman"/>
          <w:color w:val="000000"/>
          <w:sz w:val="20"/>
        </w:rPr>
        <w:t xml:space="preserve"> </w:t>
      </w:r>
    </w:p>
    <w:p>
      <w:pPr>
        <w:pStyle w:val="TextBody"/>
        <w:bidi w:val="0"/>
        <w:ind w:left="0" w:right="0" w:firstLine="166"/>
        <w:jc w:val="left"/>
        <w:rPr>
          <w:rFonts w:ascii="Times New Roman" w:hAnsi="Times New Roman"/>
          <w:sz w:val="20"/>
        </w:rPr>
      </w:pPr>
      <w:r>
        <w:rPr>
          <w:rFonts w:ascii="Arial" w:hAnsi="Arial"/>
          <w:color w:val="000000"/>
          <w:sz w:val="21"/>
        </w:rPr>
        <w:t>Kevin Theiss</w:t>
      </w:r>
      <w:r>
        <w:rPr>
          <w:rFonts w:ascii="Times New Roman" w:hAnsi="Times New Roman"/>
          <w:color w:val="000000"/>
          <w:sz w:val="20"/>
        </w:rPr>
        <w:t xml:space="preserve"> </w:t>
      </w:r>
    </w:p>
    <w:p>
      <w:pPr>
        <w:pStyle w:val="TextBody"/>
        <w:bidi w:val="0"/>
        <w:ind w:left="0" w:right="0" w:firstLine="166"/>
        <w:jc w:val="left"/>
        <w:rPr>
          <w:rFonts w:ascii="Times New Roman" w:hAnsi="Times New Roman"/>
          <w:sz w:val="20"/>
        </w:rPr>
      </w:pPr>
      <w:r>
        <w:rPr>
          <w:rFonts w:ascii="Arial" w:hAnsi="Arial"/>
          <w:color w:val="000000"/>
          <w:sz w:val="21"/>
        </w:rPr>
        <w:t>Tel: +1-212-510-8922</w:t>
      </w:r>
      <w:r>
        <w:rPr>
          <w:rFonts w:ascii="Times New Roman" w:hAnsi="Times New Roman"/>
          <w:color w:val="000000"/>
          <w:sz w:val="20"/>
        </w:rPr>
        <w:t xml:space="preserve"> </w:t>
      </w:r>
    </w:p>
    <w:p>
      <w:pPr>
        <w:pStyle w:val="TextBody"/>
        <w:bidi w:val="0"/>
        <w:ind w:left="0" w:right="0" w:firstLine="166"/>
        <w:jc w:val="left"/>
        <w:rPr>
          <w:rFonts w:ascii="Arial" w:hAnsi="Arial"/>
          <w:color w:val="000000"/>
          <w:sz w:val="21"/>
        </w:rPr>
      </w:pPr>
      <w:r>
        <w:rPr>
          <w:rFonts w:ascii="Arial" w:hAnsi="Arial"/>
          <w:color w:val="000000"/>
          <w:sz w:val="21"/>
        </w:rPr>
        <w:t>Email: cyd@bluefocus.com</w:t>
      </w:r>
    </w:p>
    <w:p>
      <w:pPr>
        <w:pStyle w:val="TextBody"/>
        <w:bidi w:val="0"/>
        <w:jc w:val="left"/>
        <w:rPr/>
      </w:pPr>
      <w:r>
        <w:rPr/>
        <w:t> </w:t>
      </w:r>
    </w:p>
    <w:p>
      <w:pPr>
        <w:pStyle w:val="TextBody"/>
        <w:bidi w:val="0"/>
        <w:jc w:val="left"/>
        <w:rPr/>
      </w:pPr>
      <w:r>
        <w:rPr/>
        <w:t> </w:t>
      </w:r>
    </w:p>
    <w:p>
      <w:pPr>
        <w:pStyle w:val="TextBody"/>
        <w:bidi w:val="0"/>
        <w:ind w:left="0" w:right="0" w:firstLine="166"/>
        <w:jc w:val="left"/>
        <w:rPr>
          <w:rFonts w:ascii="Arial" w:hAnsi="Arial"/>
          <w:color w:val="000000"/>
          <w:sz w:val="21"/>
        </w:rPr>
      </w:pPr>
      <w:r>
        <w:rPr>
          <w:rFonts w:ascii="Arial" w:hAnsi="Arial"/>
          <w:color w:val="000000"/>
          <w:sz w:val="21"/>
        </w:rPr>
        <w:t>SOURCE China Yuchai International</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00"/>
        <w:jc w:val="right"/>
        <w:rPr/>
      </w:pPr>
      <w:bookmarkStart w:id="4" w:name="ck0000932695-ex99_2.htm"/>
      <w:bookmarkStart w:id="5" w:name="ksck0000932695ex99_2"/>
      <w:bookmarkEnd w:id="4"/>
      <w:bookmarkEnd w:id="5"/>
      <w:r>
        <w:rPr/>
        <w:t> </w:t>
      </w:r>
      <w:r>
        <w:br w:type="page"/>
      </w:r>
    </w:p>
    <w:p>
      <w:pPr>
        <w:pStyle w:val="TextBody"/>
        <w:bidi w:val="0"/>
        <w:jc w:val="right"/>
        <w:rPr/>
      </w:pPr>
      <w:r>
        <w:rPr/>
        <w:t> </w:t>
      </w:r>
    </w:p>
    <w:p>
      <w:pPr>
        <w:pStyle w:val="TextBody"/>
        <w:bidi w:val="0"/>
        <w:ind w:left="7920" w:right="0" w:hanging="0"/>
        <w:jc w:val="center"/>
        <w:rPr>
          <w:rFonts w:ascii="Arial" w:hAnsi="Arial"/>
          <w:b/>
          <w:color w:val="231F20"/>
          <w:sz w:val="20"/>
        </w:rPr>
      </w:pPr>
      <w:r>
        <w:rPr>
          <w:rFonts w:ascii="Arial" w:hAnsi="Arial"/>
          <w:b/>
          <w:color w:val="231F20"/>
          <w:sz w:val="20"/>
        </w:rPr>
        <w:t>Exhibit 99.2</w:t>
      </w:r>
    </w:p>
    <w:p>
      <w:pPr>
        <w:pStyle w:val="TextBody"/>
        <w:bidi w:val="0"/>
        <w:jc w:val="left"/>
        <w:rPr/>
      </w:pPr>
      <w:r>
        <w:rPr/>
        <w:drawing>
          <wp:inline distT="0" distB="0" distL="0" distR="0">
            <wp:extent cx="6915150" cy="89439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915150" cy="8943975"/>
                    </a:xfrm>
                    <a:prstGeom prst="rect">
                      <a:avLst/>
                    </a:prstGeom>
                  </pic:spPr>
                </pic:pic>
              </a:graphicData>
            </a:graphic>
          </wp:inline>
        </w:drawing>
      </w:r>
    </w:p>
    <w:p>
      <w:pPr>
        <w:pStyle w:val="HorizontalLine"/>
        <w:pBdr>
          <w:bottom w:val="double" w:sz="2" w:space="0" w:color="808080"/>
        </w:pBdr>
        <w:bidi w:val="0"/>
        <w:spacing w:before="0" w:after="283"/>
        <w:jc w:val="left"/>
        <w:rPr/>
      </w:pPr>
      <w:r>
        <w:rPr/>
      </w:r>
    </w:p>
    <w:p>
      <w:pPr>
        <w:pStyle w:val="TextBody"/>
        <w:bidi w:val="0"/>
        <w:spacing w:before="0" w:after="200"/>
        <w:jc w:val="right"/>
        <w:rPr/>
      </w:pPr>
      <w:r>
        <w:rPr/>
        <w:t> </w:t>
      </w:r>
    </w:p>
    <w:p>
      <w:pPr>
        <w:pStyle w:val="TextBody"/>
        <w:bidi w:val="0"/>
        <w:jc w:val="center"/>
        <w:rPr/>
      </w:pPr>
      <w:r>
        <w:rPr/>
        <w:drawing>
          <wp:inline distT="0" distB="0" distL="0" distR="0">
            <wp:extent cx="7410450" cy="95821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7410450" cy="9582150"/>
                    </a:xfrm>
                    <a:prstGeom prst="rect">
                      <a:avLst/>
                    </a:prstGeom>
                  </pic:spPr>
                </pic:pic>
              </a:graphicData>
            </a:graphic>
          </wp:inline>
        </w:drawing>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769</Words>
  <Characters>3780</Characters>
  <CharactersWithSpaces>4516</CharactersWithSpaces>
  <Paragraphs>129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